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4FF" w:rsidRPr="0084380F" w:rsidRDefault="00F934FF" w:rsidP="0084380F">
      <w:pPr>
        <w:spacing w:line="280" w:lineRule="exact"/>
        <w:rPr>
          <w:rFonts w:ascii="微软雅黑" w:eastAsia="微软雅黑" w:hAnsi="微软雅黑" w:cs="Arial" w:hint="eastAsia"/>
          <w:kern w:val="0"/>
          <w:sz w:val="24"/>
        </w:rPr>
      </w:pPr>
    </w:p>
    <w:p w:rsidR="00F934FF" w:rsidRPr="0084380F" w:rsidRDefault="00631954" w:rsidP="0084380F">
      <w:pPr>
        <w:spacing w:line="600" w:lineRule="exact"/>
        <w:jc w:val="center"/>
        <w:rPr>
          <w:rFonts w:ascii="微软雅黑" w:eastAsia="微软雅黑" w:hAnsi="微软雅黑" w:cs="Arial"/>
          <w:b/>
          <w:color w:val="C00000"/>
          <w:sz w:val="40"/>
          <w:szCs w:val="40"/>
        </w:rPr>
      </w:pPr>
      <w:bookmarkStart w:id="0" w:name="Title"/>
      <w:r w:rsidRPr="0084380F">
        <w:rPr>
          <w:rFonts w:ascii="微软雅黑" w:eastAsia="微软雅黑" w:hAnsi="微软雅黑" w:cs="Arial"/>
          <w:b/>
          <w:color w:val="C00000"/>
          <w:sz w:val="40"/>
          <w:szCs w:val="40"/>
        </w:rPr>
        <w:t>全国人民代表大会常务委员会关于</w:t>
      </w:r>
      <w:r w:rsidRPr="0084380F">
        <w:rPr>
          <w:rFonts w:ascii="微软雅黑" w:eastAsia="微软雅黑" w:hAnsi="微软雅黑" w:cs="Arial"/>
          <w:b/>
          <w:color w:val="C00000"/>
          <w:sz w:val="40"/>
          <w:szCs w:val="40"/>
        </w:rPr>
        <w:t>司法鉴定管理问题的决定</w:t>
      </w:r>
      <w:bookmarkEnd w:id="0"/>
    </w:p>
    <w:p w:rsidR="00F934FF" w:rsidRDefault="00F934FF" w:rsidP="0084380F">
      <w:pPr>
        <w:spacing w:line="280" w:lineRule="exact"/>
        <w:ind w:rightChars="200" w:right="632"/>
        <w:rPr>
          <w:rFonts w:ascii="微软雅黑" w:eastAsia="微软雅黑" w:hAnsi="微软雅黑" w:cs="Arial"/>
          <w:bCs/>
          <w:sz w:val="24"/>
        </w:rPr>
      </w:pPr>
      <w:bookmarkStart w:id="1" w:name="AddRun"/>
    </w:p>
    <w:p w:rsidR="0084380F" w:rsidRDefault="0084380F" w:rsidP="0084380F">
      <w:pPr>
        <w:spacing w:line="280" w:lineRule="exact"/>
        <w:jc w:val="center"/>
        <w:rPr>
          <w:rFonts w:ascii="微软雅黑" w:eastAsia="微软雅黑" w:hAnsi="微软雅黑" w:cs="Arial"/>
          <w:bCs/>
          <w:sz w:val="24"/>
        </w:rPr>
      </w:pPr>
      <w:r>
        <w:rPr>
          <w:rFonts w:ascii="微软雅黑" w:eastAsia="微软雅黑" w:hAnsi="微软雅黑" w:cs="Arial" w:hint="eastAsia"/>
          <w:bCs/>
          <w:sz w:val="24"/>
        </w:rPr>
        <w:t>2</w:t>
      </w:r>
      <w:r>
        <w:rPr>
          <w:rFonts w:ascii="微软雅黑" w:eastAsia="微软雅黑" w:hAnsi="微软雅黑" w:cs="Arial"/>
          <w:bCs/>
          <w:sz w:val="24"/>
        </w:rPr>
        <w:t>015-04-24</w:t>
      </w:r>
    </w:p>
    <w:p w:rsidR="0084380F" w:rsidRPr="0084380F" w:rsidRDefault="0084380F" w:rsidP="0084380F">
      <w:pPr>
        <w:spacing w:line="280" w:lineRule="exact"/>
        <w:ind w:rightChars="200" w:right="632"/>
        <w:rPr>
          <w:rFonts w:ascii="微软雅黑" w:eastAsia="微软雅黑" w:hAnsi="微软雅黑" w:cs="Arial" w:hint="eastAsia"/>
          <w:bCs/>
          <w:sz w:val="24"/>
        </w:rPr>
      </w:pPr>
    </w:p>
    <w:p w:rsidR="00F934FF" w:rsidRPr="0084380F" w:rsidRDefault="00631954" w:rsidP="0084380F">
      <w:pPr>
        <w:spacing w:line="280" w:lineRule="exact"/>
        <w:ind w:leftChars="200" w:left="632" w:rightChars="200" w:right="632" w:firstLineChars="200" w:firstLine="432"/>
        <w:rPr>
          <w:rFonts w:ascii="微软雅黑" w:eastAsia="微软雅黑" w:hAnsi="微软雅黑" w:cs="Arial"/>
          <w:bCs/>
          <w:sz w:val="22"/>
          <w:szCs w:val="22"/>
        </w:rPr>
      </w:pPr>
      <w:bookmarkStart w:id="2" w:name="TitleDescription"/>
      <w:bookmarkEnd w:id="1"/>
      <w:r w:rsidRPr="0084380F">
        <w:rPr>
          <w:rFonts w:ascii="微软雅黑" w:eastAsia="微软雅黑" w:hAnsi="微软雅黑" w:cs="Arial" w:hint="eastAsia"/>
          <w:sz w:val="22"/>
          <w:szCs w:val="22"/>
        </w:rPr>
        <w:t>（</w:t>
      </w:r>
      <w:r w:rsidRPr="0084380F">
        <w:rPr>
          <w:rFonts w:ascii="微软雅黑" w:eastAsia="微软雅黑" w:hAnsi="微软雅黑"/>
          <w:sz w:val="22"/>
          <w:szCs w:val="22"/>
        </w:rPr>
        <w:t>2005</w:t>
      </w:r>
      <w:r w:rsidRPr="0084380F">
        <w:rPr>
          <w:rFonts w:ascii="微软雅黑" w:eastAsia="微软雅黑" w:hAnsi="微软雅黑" w:cs="Arial" w:hint="eastAsia"/>
          <w:sz w:val="22"/>
          <w:szCs w:val="22"/>
        </w:rPr>
        <w:t>年</w:t>
      </w:r>
      <w:r w:rsidRPr="0084380F">
        <w:rPr>
          <w:rFonts w:ascii="微软雅黑" w:eastAsia="微软雅黑" w:hAnsi="微软雅黑"/>
          <w:sz w:val="22"/>
          <w:szCs w:val="22"/>
        </w:rPr>
        <w:t>2</w:t>
      </w:r>
      <w:r w:rsidRPr="0084380F">
        <w:rPr>
          <w:rFonts w:ascii="微软雅黑" w:eastAsia="微软雅黑" w:hAnsi="微软雅黑" w:cs="Arial" w:hint="eastAsia"/>
          <w:sz w:val="22"/>
          <w:szCs w:val="22"/>
        </w:rPr>
        <w:t>月</w:t>
      </w:r>
      <w:r w:rsidRPr="0084380F">
        <w:rPr>
          <w:rFonts w:ascii="微软雅黑" w:eastAsia="微软雅黑" w:hAnsi="微软雅黑"/>
          <w:sz w:val="22"/>
          <w:szCs w:val="22"/>
        </w:rPr>
        <w:t>28</w:t>
      </w:r>
      <w:r w:rsidRPr="0084380F">
        <w:rPr>
          <w:rFonts w:ascii="微软雅黑" w:eastAsia="微软雅黑" w:hAnsi="微软雅黑" w:cs="Arial" w:hint="eastAsia"/>
          <w:sz w:val="22"/>
          <w:szCs w:val="22"/>
        </w:rPr>
        <w:t>日第十届全国人民代表大会常务委员会第十四次会议通过　根据</w:t>
      </w:r>
      <w:r w:rsidRPr="0084380F">
        <w:rPr>
          <w:rFonts w:ascii="微软雅黑" w:eastAsia="微软雅黑" w:hAnsi="微软雅黑"/>
          <w:sz w:val="22"/>
          <w:szCs w:val="22"/>
        </w:rPr>
        <w:t>2015</w:t>
      </w:r>
      <w:r w:rsidRPr="0084380F">
        <w:rPr>
          <w:rFonts w:ascii="微软雅黑" w:eastAsia="微软雅黑" w:hAnsi="微软雅黑" w:cs="Arial" w:hint="eastAsia"/>
          <w:sz w:val="22"/>
          <w:szCs w:val="22"/>
        </w:rPr>
        <w:t>年</w:t>
      </w:r>
      <w:r w:rsidRPr="0084380F">
        <w:rPr>
          <w:rFonts w:ascii="微软雅黑" w:eastAsia="微软雅黑" w:hAnsi="微软雅黑"/>
          <w:sz w:val="22"/>
          <w:szCs w:val="22"/>
        </w:rPr>
        <w:t>4</w:t>
      </w:r>
      <w:r w:rsidRPr="0084380F">
        <w:rPr>
          <w:rFonts w:ascii="微软雅黑" w:eastAsia="微软雅黑" w:hAnsi="微软雅黑" w:cs="Arial" w:hint="eastAsia"/>
          <w:sz w:val="22"/>
          <w:szCs w:val="22"/>
        </w:rPr>
        <w:t>月</w:t>
      </w:r>
      <w:r w:rsidRPr="0084380F">
        <w:rPr>
          <w:rFonts w:ascii="微软雅黑" w:eastAsia="微软雅黑" w:hAnsi="微软雅黑"/>
          <w:sz w:val="22"/>
          <w:szCs w:val="22"/>
        </w:rPr>
        <w:t>24</w:t>
      </w:r>
      <w:r w:rsidRPr="0084380F">
        <w:rPr>
          <w:rFonts w:ascii="微软雅黑" w:eastAsia="微软雅黑" w:hAnsi="微软雅黑" w:cs="Arial" w:hint="eastAsia"/>
          <w:sz w:val="22"/>
          <w:szCs w:val="22"/>
        </w:rPr>
        <w:t>日第十二届全国人民代表大会常务委员会第十四次会议《关于修改〈中华人民共和国义务教育法〉等五部法律的决定》修正）</w:t>
      </w:r>
      <w:bookmarkEnd w:id="2"/>
    </w:p>
    <w:p w:rsidR="00F934FF" w:rsidRPr="0084380F" w:rsidRDefault="00F934FF" w:rsidP="0084380F">
      <w:pPr>
        <w:spacing w:line="400" w:lineRule="exact"/>
        <w:rPr>
          <w:rFonts w:ascii="微软雅黑" w:eastAsia="微软雅黑" w:hAnsi="微软雅黑" w:cs="宋体"/>
          <w:sz w:val="24"/>
        </w:rPr>
      </w:pPr>
    </w:p>
    <w:p w:rsidR="00F934FF" w:rsidRPr="0084380F" w:rsidRDefault="00631954" w:rsidP="0084380F">
      <w:pPr>
        <w:spacing w:line="400" w:lineRule="exact"/>
        <w:ind w:firstLine="640"/>
        <w:rPr>
          <w:rFonts w:ascii="微软雅黑" w:eastAsia="微软雅黑" w:hAnsi="微软雅黑"/>
          <w:sz w:val="24"/>
        </w:rPr>
      </w:pPr>
      <w:r w:rsidRPr="0084380F">
        <w:rPr>
          <w:rFonts w:ascii="微软雅黑" w:eastAsia="微软雅黑" w:hAnsi="微软雅黑" w:cs="仿宋_GB2312"/>
          <w:sz w:val="24"/>
        </w:rPr>
        <w:t>为了加强对鉴定人和鉴定机构的管理，适应司法机关和公民、组织进行诉讼的需要，保障诉讼活动的顺利进行，特作如下决定：</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一</w:t>
      </w:r>
      <w:r w:rsidRPr="0084380F">
        <w:rPr>
          <w:rFonts w:ascii="微软雅黑" w:eastAsia="微软雅黑" w:hAnsi="微软雅黑" w:cs="仿宋_GB2312" w:hint="eastAsia"/>
          <w:sz w:val="24"/>
        </w:rPr>
        <w:t>、</w:t>
      </w:r>
      <w:r w:rsidRPr="0084380F">
        <w:rPr>
          <w:rFonts w:ascii="微软雅黑" w:eastAsia="微软雅黑" w:hAnsi="微软雅黑" w:cs="仿宋_GB2312"/>
          <w:sz w:val="24"/>
        </w:rPr>
        <w:t>司法鉴定是指在诉讼活动中鉴定人运用科学技术或者专门知识对诉讼涉及的专门性问题进行鉴别和判断并提供鉴定意见的活动。</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二</w:t>
      </w:r>
      <w:r w:rsidRPr="0084380F">
        <w:rPr>
          <w:rFonts w:ascii="微软雅黑" w:eastAsia="微软雅黑" w:hAnsi="微软雅黑" w:cs="仿宋_GB2312" w:hint="eastAsia"/>
          <w:sz w:val="24"/>
        </w:rPr>
        <w:t>、</w:t>
      </w:r>
      <w:r w:rsidRPr="0084380F">
        <w:rPr>
          <w:rFonts w:ascii="微软雅黑" w:eastAsia="微软雅黑" w:hAnsi="微软雅黑" w:cs="仿宋_GB2312"/>
          <w:sz w:val="24"/>
        </w:rPr>
        <w:t>国家对从事下列司法鉴定业务的鉴定人和鉴定机构实行登</w:t>
      </w:r>
      <w:bookmarkStart w:id="3" w:name="_GoBack"/>
      <w:bookmarkEnd w:id="3"/>
      <w:r w:rsidRPr="0084380F">
        <w:rPr>
          <w:rFonts w:ascii="微软雅黑" w:eastAsia="微软雅黑" w:hAnsi="微软雅黑" w:cs="仿宋_GB2312"/>
          <w:sz w:val="24"/>
        </w:rPr>
        <w:t>记管理制度：</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（一）法医类鉴定；</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（二）物证类鉴定；</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（三）声像资料鉴定；</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（四）根据诉讼需要由国务院司法行政部门商最高人民法院、最高人民检察院确定的其他应当对鉴定人和鉴定机构实行登记管理的鉴定事项。</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法律对前款规定事项的鉴定人和鉴定机构的管理另有规定的，从其规定。</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三</w:t>
      </w:r>
      <w:r w:rsidRPr="0084380F">
        <w:rPr>
          <w:rFonts w:ascii="微软雅黑" w:eastAsia="微软雅黑" w:hAnsi="微软雅黑" w:cs="仿宋_GB2312" w:hint="eastAsia"/>
          <w:sz w:val="24"/>
        </w:rPr>
        <w:t>、</w:t>
      </w:r>
      <w:r w:rsidRPr="0084380F">
        <w:rPr>
          <w:rFonts w:ascii="微软雅黑" w:eastAsia="微软雅黑" w:hAnsi="微软雅黑" w:cs="仿宋_GB2312"/>
          <w:sz w:val="24"/>
        </w:rPr>
        <w:t>国务院司法行政部门主管全国鉴定人和鉴定机构的登记管理工作。省级人民政府司</w:t>
      </w:r>
      <w:r w:rsidRPr="0084380F">
        <w:rPr>
          <w:rFonts w:ascii="微软雅黑" w:eastAsia="微软雅黑" w:hAnsi="微软雅黑" w:cs="仿宋_GB2312"/>
          <w:sz w:val="24"/>
        </w:rPr>
        <w:t>法行政部门依照本决定的规定，负责对鉴定人和鉴定机构的登记、名册编制和公告。</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四</w:t>
      </w:r>
      <w:r w:rsidRPr="0084380F">
        <w:rPr>
          <w:rFonts w:ascii="微软雅黑" w:eastAsia="微软雅黑" w:hAnsi="微软雅黑" w:cs="仿宋_GB2312" w:hint="eastAsia"/>
          <w:sz w:val="24"/>
        </w:rPr>
        <w:t>、</w:t>
      </w:r>
      <w:r w:rsidRPr="0084380F">
        <w:rPr>
          <w:rFonts w:ascii="微软雅黑" w:eastAsia="微软雅黑" w:hAnsi="微软雅黑" w:cs="仿宋_GB2312"/>
          <w:sz w:val="24"/>
        </w:rPr>
        <w:t>具备下列条件之一的人员，可以申请登记从事司法鉴定业务：</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（一）具有与所申请从事的司法鉴定业务相关的高级专业技术职称；</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（二）具有与所申请从事的司法鉴定业务相关的专业执业资格或者高等院校相关专业本科以上学历，从事相关工作五年以上；</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（三）具有与所申请从事的司法鉴定业务相关工作十年以上经历，具有较强的专业技能。</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因故意犯罪或者职务过失犯罪受过刑事处罚的，受过开除公职处分的，以及被撤销鉴定人登记的人员，不得从事司法鉴定业务。</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五</w:t>
      </w:r>
      <w:r w:rsidRPr="0084380F">
        <w:rPr>
          <w:rFonts w:ascii="微软雅黑" w:eastAsia="微软雅黑" w:hAnsi="微软雅黑" w:cs="仿宋_GB2312" w:hint="eastAsia"/>
          <w:sz w:val="24"/>
        </w:rPr>
        <w:t>、</w:t>
      </w:r>
      <w:r w:rsidRPr="0084380F">
        <w:rPr>
          <w:rFonts w:ascii="微软雅黑" w:eastAsia="微软雅黑" w:hAnsi="微软雅黑" w:cs="仿宋_GB2312"/>
          <w:sz w:val="24"/>
        </w:rPr>
        <w:t>法人或者其他组织申请从事司法鉴定业务的，应当具备下列条件：</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（一）有明确的业务范围；</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（二）有在业务范围内进行司法鉴定所必需的仪器、设备；</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（三）有在业务范围内进行司法鉴定所必需的依法通过计量认证或者实验室认可的检测实验室；</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（四）每项司法鉴定业务有三名以上鉴定人。</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六</w:t>
      </w:r>
      <w:r w:rsidRPr="0084380F">
        <w:rPr>
          <w:rFonts w:ascii="微软雅黑" w:eastAsia="微软雅黑" w:hAnsi="微软雅黑" w:cs="仿宋_GB2312" w:hint="eastAsia"/>
          <w:sz w:val="24"/>
        </w:rPr>
        <w:t>、</w:t>
      </w:r>
      <w:r w:rsidRPr="0084380F">
        <w:rPr>
          <w:rFonts w:ascii="微软雅黑" w:eastAsia="微软雅黑" w:hAnsi="微软雅黑" w:cs="仿宋_GB2312"/>
          <w:sz w:val="24"/>
        </w:rPr>
        <w:t>申请从事司法鉴定业务的个人、法人或者其他组织，由省级人民政府司法行政部门审核，对符合条件的予以登记，编入鉴定人和鉴定机构名册并公告。</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省级人民政府司法行政部门应当根据鉴定人或者鉴定机构的增加和撤销登记情况，定期更新所编制的鉴定人和鉴定机构名册并公告。</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七</w:t>
      </w:r>
      <w:r w:rsidRPr="0084380F">
        <w:rPr>
          <w:rFonts w:ascii="微软雅黑" w:eastAsia="微软雅黑" w:hAnsi="微软雅黑" w:cs="仿宋_GB2312" w:hint="eastAsia"/>
          <w:sz w:val="24"/>
        </w:rPr>
        <w:t>、</w:t>
      </w:r>
      <w:proofErr w:type="gramStart"/>
      <w:r w:rsidRPr="0084380F">
        <w:rPr>
          <w:rFonts w:ascii="微软雅黑" w:eastAsia="微软雅黑" w:hAnsi="微软雅黑" w:cs="仿宋_GB2312"/>
          <w:sz w:val="24"/>
        </w:rPr>
        <w:t>侦查机</w:t>
      </w:r>
      <w:proofErr w:type="gramEnd"/>
      <w:r w:rsidRPr="0084380F">
        <w:rPr>
          <w:rFonts w:ascii="微软雅黑" w:eastAsia="微软雅黑" w:hAnsi="微软雅黑" w:cs="仿宋_GB2312"/>
          <w:sz w:val="24"/>
        </w:rPr>
        <w:t>关根据侦查工作的需要设立的鉴定机构，不得面向社会接受委托从事司法鉴定业务。</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人民法院和司法行政部门不得设立鉴定机构。</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lastRenderedPageBreak/>
        <w:t>八</w:t>
      </w:r>
      <w:r w:rsidRPr="0084380F">
        <w:rPr>
          <w:rFonts w:ascii="微软雅黑" w:eastAsia="微软雅黑" w:hAnsi="微软雅黑" w:cs="仿宋_GB2312" w:hint="eastAsia"/>
          <w:sz w:val="24"/>
        </w:rPr>
        <w:t>、</w:t>
      </w:r>
      <w:r w:rsidRPr="0084380F">
        <w:rPr>
          <w:rFonts w:ascii="微软雅黑" w:eastAsia="微软雅黑" w:hAnsi="微软雅黑" w:cs="仿宋_GB2312"/>
          <w:sz w:val="24"/>
        </w:rPr>
        <w:t>各鉴定机构之间没有隶属关系；鉴定机构接受委托从事司法鉴定业务，不受地域范围的限制。</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鉴定人应当在一个鉴定机构中从事司法鉴定业务。</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九</w:t>
      </w:r>
      <w:r w:rsidRPr="0084380F">
        <w:rPr>
          <w:rFonts w:ascii="微软雅黑" w:eastAsia="微软雅黑" w:hAnsi="微软雅黑" w:cs="仿宋_GB2312" w:hint="eastAsia"/>
          <w:sz w:val="24"/>
        </w:rPr>
        <w:t>、</w:t>
      </w:r>
      <w:r w:rsidRPr="0084380F">
        <w:rPr>
          <w:rFonts w:ascii="微软雅黑" w:eastAsia="微软雅黑" w:hAnsi="微软雅黑" w:cs="仿宋_GB2312"/>
          <w:sz w:val="24"/>
        </w:rPr>
        <w:t>在诉讼中，对本决定第二条所规定的鉴定事项发生争议，需要鉴定的，应当委托列入鉴定人名册的鉴定人进行鉴定。鉴定人从事司法鉴定业务，由所在的鉴定机构统一接受委托。</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鉴定人和鉴定机构应当在鉴定人和鉴定机构名册注明的业务范围内从事司法鉴定业务。</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鉴定人应当依照诉讼法律规定实行回避。</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十</w:t>
      </w:r>
      <w:r w:rsidRPr="0084380F">
        <w:rPr>
          <w:rFonts w:ascii="微软雅黑" w:eastAsia="微软雅黑" w:hAnsi="微软雅黑" w:cs="仿宋_GB2312" w:hint="eastAsia"/>
          <w:sz w:val="24"/>
        </w:rPr>
        <w:t>、</w:t>
      </w:r>
      <w:r w:rsidRPr="0084380F">
        <w:rPr>
          <w:rFonts w:ascii="微软雅黑" w:eastAsia="微软雅黑" w:hAnsi="微软雅黑" w:cs="仿宋_GB2312"/>
          <w:sz w:val="24"/>
        </w:rPr>
        <w:t>司法鉴定实行鉴定人负责制度。鉴定人应当独立进行鉴定，对鉴定意见负责并在鉴定书上签名或者盖章。多人参加的鉴定，对鉴定意见有不同意见的，应当注明。</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十一</w:t>
      </w:r>
      <w:r w:rsidRPr="0084380F">
        <w:rPr>
          <w:rFonts w:ascii="微软雅黑" w:eastAsia="微软雅黑" w:hAnsi="微软雅黑" w:cs="仿宋_GB2312" w:hint="eastAsia"/>
          <w:sz w:val="24"/>
        </w:rPr>
        <w:t>、</w:t>
      </w:r>
      <w:r w:rsidRPr="0084380F">
        <w:rPr>
          <w:rFonts w:ascii="微软雅黑" w:eastAsia="微软雅黑" w:hAnsi="微软雅黑" w:cs="仿宋_GB2312"/>
          <w:sz w:val="24"/>
        </w:rPr>
        <w:t>在诉讼中，当事人对鉴定意见有异议的，经人民法院依法通知，鉴定人应当出庭作证。</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十二</w:t>
      </w:r>
      <w:r w:rsidRPr="0084380F">
        <w:rPr>
          <w:rFonts w:ascii="微软雅黑" w:eastAsia="微软雅黑" w:hAnsi="微软雅黑" w:cs="仿宋_GB2312" w:hint="eastAsia"/>
          <w:sz w:val="24"/>
        </w:rPr>
        <w:t>、</w:t>
      </w:r>
      <w:r w:rsidRPr="0084380F">
        <w:rPr>
          <w:rFonts w:ascii="微软雅黑" w:eastAsia="微软雅黑" w:hAnsi="微软雅黑" w:cs="仿宋_GB2312"/>
          <w:sz w:val="24"/>
        </w:rPr>
        <w:t>鉴定人和鉴定机构从事司法鉴定业务，应当遵守法律、法规，遵守职业道德和职业纪律，尊重科学，遵守技术操作规范。</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十三</w:t>
      </w:r>
      <w:r w:rsidRPr="0084380F">
        <w:rPr>
          <w:rFonts w:ascii="微软雅黑" w:eastAsia="微软雅黑" w:hAnsi="微软雅黑" w:cs="仿宋_GB2312" w:hint="eastAsia"/>
          <w:sz w:val="24"/>
        </w:rPr>
        <w:t>、</w:t>
      </w:r>
      <w:r w:rsidRPr="0084380F">
        <w:rPr>
          <w:rFonts w:ascii="微软雅黑" w:eastAsia="微软雅黑" w:hAnsi="微软雅黑" w:cs="仿宋_GB2312"/>
          <w:sz w:val="24"/>
        </w:rPr>
        <w:t>鉴定人或者鉴定机构有违反本决定规定行为的，由省级人民政府司法行政部门予以警告，责令改正。</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鉴定人或者鉴定机构有下列情形之一的，由省级人民政府司法行政部门给予停止从事司法鉴定业务三个月以上一年以下的处罚；情节严重的，撤销登记：</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（一）因严重不负责任给当事人合法权益造成重大损失的；</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（二）提供虚假证明文件或者采取其他欺诈手段，骗取登记的；</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（三）经人民法院依法通知，拒绝出庭作证的；</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（四）法律</w:t>
      </w:r>
      <w:r w:rsidRPr="0084380F">
        <w:rPr>
          <w:rFonts w:ascii="微软雅黑" w:eastAsia="微软雅黑" w:hAnsi="微软雅黑" w:cs="仿宋_GB2312"/>
          <w:sz w:val="24"/>
        </w:rPr>
        <w:t>、行政法规规定的其他情形。</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鉴定人故意作虚假鉴定，构成犯罪的，依法追究刑事责任；尚不构成犯罪的，依照前款规定处罚。</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十四</w:t>
      </w:r>
      <w:r w:rsidRPr="0084380F">
        <w:rPr>
          <w:rFonts w:ascii="微软雅黑" w:eastAsia="微软雅黑" w:hAnsi="微软雅黑" w:cs="仿宋_GB2312" w:hint="eastAsia"/>
          <w:sz w:val="24"/>
        </w:rPr>
        <w:t>、</w:t>
      </w:r>
      <w:r w:rsidRPr="0084380F">
        <w:rPr>
          <w:rFonts w:ascii="微软雅黑" w:eastAsia="微软雅黑" w:hAnsi="微软雅黑" w:cs="仿宋_GB2312"/>
          <w:sz w:val="24"/>
        </w:rPr>
        <w:t>司法行政部门在鉴定人和鉴定机构的登记管理工作中，应当严格依法办事，积极推进司法鉴定的规范化、法制化。对于滥用职权、玩忽职守，造成严重后果的直接责任人员，应当追究相应的法律责任。</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十五</w:t>
      </w:r>
      <w:r w:rsidRPr="0084380F">
        <w:rPr>
          <w:rFonts w:ascii="微软雅黑" w:eastAsia="微软雅黑" w:hAnsi="微软雅黑" w:cs="仿宋_GB2312" w:hint="eastAsia"/>
          <w:sz w:val="24"/>
        </w:rPr>
        <w:t>、</w:t>
      </w:r>
      <w:r w:rsidRPr="0084380F">
        <w:rPr>
          <w:rFonts w:ascii="微软雅黑" w:eastAsia="微软雅黑" w:hAnsi="微软雅黑" w:cs="仿宋_GB2312"/>
          <w:sz w:val="24"/>
        </w:rPr>
        <w:t>司法鉴定的收费标准由省、自治区、直辖市人民政府价格主管部门会同同级司法行政部门制定。</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十六</w:t>
      </w:r>
      <w:r w:rsidRPr="0084380F">
        <w:rPr>
          <w:rFonts w:ascii="微软雅黑" w:eastAsia="微软雅黑" w:hAnsi="微软雅黑" w:cs="仿宋_GB2312" w:hint="eastAsia"/>
          <w:sz w:val="24"/>
        </w:rPr>
        <w:t>、</w:t>
      </w:r>
      <w:r w:rsidRPr="0084380F">
        <w:rPr>
          <w:rFonts w:ascii="微软雅黑" w:eastAsia="微软雅黑" w:hAnsi="微软雅黑" w:cs="仿宋_GB2312"/>
          <w:sz w:val="24"/>
        </w:rPr>
        <w:t>对鉴定人和鉴定机构进行登记、名册编制和公告的具体办法，由国务院司法行政部门制定，报国务院批准。</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十七</w:t>
      </w:r>
      <w:r w:rsidRPr="0084380F">
        <w:rPr>
          <w:rFonts w:ascii="微软雅黑" w:eastAsia="微软雅黑" w:hAnsi="微软雅黑" w:cs="仿宋_GB2312" w:hint="eastAsia"/>
          <w:sz w:val="24"/>
        </w:rPr>
        <w:t>、</w:t>
      </w:r>
      <w:r w:rsidRPr="0084380F">
        <w:rPr>
          <w:rFonts w:ascii="微软雅黑" w:eastAsia="微软雅黑" w:hAnsi="微软雅黑" w:cs="仿宋_GB2312"/>
          <w:sz w:val="24"/>
        </w:rPr>
        <w:t>本决定下列用语的含义是：</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（一）法医类鉴定，包括法医病理鉴定、法医临床鉴定、法医精神病鉴定、法医物证鉴定和法医毒物鉴定。</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（二）物证类鉴定，包括文书鉴定、痕迹鉴定和微量鉴定。</w:t>
      </w:r>
    </w:p>
    <w:p w:rsidR="00F934FF" w:rsidRPr="0084380F" w:rsidRDefault="00631954" w:rsidP="0084380F">
      <w:pPr>
        <w:spacing w:line="400" w:lineRule="exact"/>
        <w:ind w:firstLine="640"/>
        <w:rPr>
          <w:rFonts w:ascii="微软雅黑" w:eastAsia="微软雅黑" w:hAnsi="微软雅黑" w:cs="仿宋_GB2312"/>
          <w:sz w:val="24"/>
        </w:rPr>
      </w:pPr>
      <w:r w:rsidRPr="0084380F">
        <w:rPr>
          <w:rFonts w:ascii="微软雅黑" w:eastAsia="微软雅黑" w:hAnsi="微软雅黑" w:cs="仿宋_GB2312"/>
          <w:sz w:val="24"/>
        </w:rPr>
        <w:t>（三）声像资料鉴定，包括对录音带、录像带、磁盘、光盘、图片等载体上记录的声音、图像信息的真实性、完整性及其所反映的情况过程进行的鉴定和对记录的声音、图像中的语言、人体、物体</w:t>
      </w:r>
      <w:proofErr w:type="gramStart"/>
      <w:r w:rsidRPr="0084380F">
        <w:rPr>
          <w:rFonts w:ascii="微软雅黑" w:eastAsia="微软雅黑" w:hAnsi="微软雅黑" w:cs="仿宋_GB2312"/>
          <w:sz w:val="24"/>
        </w:rPr>
        <w:t>作出</w:t>
      </w:r>
      <w:proofErr w:type="gramEnd"/>
      <w:r w:rsidRPr="0084380F">
        <w:rPr>
          <w:rFonts w:ascii="微软雅黑" w:eastAsia="微软雅黑" w:hAnsi="微软雅黑" w:cs="仿宋_GB2312"/>
          <w:sz w:val="24"/>
        </w:rPr>
        <w:t>种类或者同一认定。</w:t>
      </w:r>
    </w:p>
    <w:p w:rsidR="00F934FF" w:rsidRPr="0084380F" w:rsidRDefault="00631954" w:rsidP="0084380F">
      <w:pPr>
        <w:spacing w:line="400" w:lineRule="exact"/>
        <w:ind w:firstLine="640"/>
        <w:rPr>
          <w:rFonts w:ascii="微软雅黑" w:eastAsia="微软雅黑" w:hAnsi="微软雅黑"/>
          <w:sz w:val="24"/>
        </w:rPr>
      </w:pPr>
      <w:r w:rsidRPr="0084380F">
        <w:rPr>
          <w:rFonts w:ascii="微软雅黑" w:eastAsia="微软雅黑" w:hAnsi="微软雅黑" w:cs="仿宋_GB2312"/>
          <w:sz w:val="24"/>
        </w:rPr>
        <w:t>十八</w:t>
      </w:r>
      <w:r w:rsidRPr="0084380F">
        <w:rPr>
          <w:rFonts w:ascii="微软雅黑" w:eastAsia="微软雅黑" w:hAnsi="微软雅黑" w:cs="仿宋_GB2312" w:hint="eastAsia"/>
          <w:sz w:val="24"/>
        </w:rPr>
        <w:t>、</w:t>
      </w:r>
      <w:r w:rsidRPr="0084380F">
        <w:rPr>
          <w:rFonts w:ascii="微软雅黑" w:eastAsia="微软雅黑" w:hAnsi="微软雅黑" w:cs="仿宋_GB2312"/>
          <w:sz w:val="24"/>
        </w:rPr>
        <w:t>本决定自</w:t>
      </w:r>
      <w:r w:rsidRPr="0084380F">
        <w:rPr>
          <w:rFonts w:ascii="微软雅黑" w:eastAsia="微软雅黑" w:hAnsi="微软雅黑"/>
          <w:sz w:val="24"/>
        </w:rPr>
        <w:t>2005</w:t>
      </w:r>
      <w:r w:rsidRPr="0084380F">
        <w:rPr>
          <w:rFonts w:ascii="微软雅黑" w:eastAsia="微软雅黑" w:hAnsi="微软雅黑" w:cs="仿宋_GB2312"/>
          <w:sz w:val="24"/>
        </w:rPr>
        <w:t>年</w:t>
      </w:r>
      <w:r w:rsidRPr="0084380F">
        <w:rPr>
          <w:rFonts w:ascii="微软雅黑" w:eastAsia="微软雅黑" w:hAnsi="微软雅黑"/>
          <w:sz w:val="24"/>
        </w:rPr>
        <w:t>10</w:t>
      </w:r>
      <w:r w:rsidRPr="0084380F">
        <w:rPr>
          <w:rFonts w:ascii="微软雅黑" w:eastAsia="微软雅黑" w:hAnsi="微软雅黑" w:cs="仿宋_GB2312"/>
          <w:sz w:val="24"/>
        </w:rPr>
        <w:t>月</w:t>
      </w:r>
      <w:r w:rsidRPr="0084380F">
        <w:rPr>
          <w:rFonts w:ascii="微软雅黑" w:eastAsia="微软雅黑" w:hAnsi="微软雅黑"/>
          <w:sz w:val="24"/>
        </w:rPr>
        <w:t>1</w:t>
      </w:r>
      <w:r w:rsidRPr="0084380F">
        <w:rPr>
          <w:rFonts w:ascii="微软雅黑" w:eastAsia="微软雅黑" w:hAnsi="微软雅黑" w:cs="仿宋_GB2312"/>
          <w:sz w:val="24"/>
        </w:rPr>
        <w:t>日起施行。</w:t>
      </w:r>
    </w:p>
    <w:sectPr w:rsidR="00F934FF" w:rsidRPr="0084380F" w:rsidSect="0084380F">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954" w:rsidRDefault="00631954">
      <w:r>
        <w:separator/>
      </w:r>
    </w:p>
  </w:endnote>
  <w:endnote w:type="continuationSeparator" w:id="0">
    <w:p w:rsidR="00631954" w:rsidRDefault="0063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4FF" w:rsidRDefault="00631954">
    <w:pPr>
      <w:pStyle w:val="a3"/>
      <w:ind w:firstLineChars="50" w:firstLine="140"/>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4FF" w:rsidRDefault="00631954">
    <w:pPr>
      <w:pStyle w:val="a3"/>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954" w:rsidRDefault="00631954">
      <w:r>
        <w:separator/>
      </w:r>
    </w:p>
  </w:footnote>
  <w:footnote w:type="continuationSeparator" w:id="0">
    <w:p w:rsidR="00631954" w:rsidRDefault="00631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31954"/>
    <w:rsid w:val="006A6786"/>
    <w:rsid w:val="006B2EDC"/>
    <w:rsid w:val="006C7885"/>
    <w:rsid w:val="006D3381"/>
    <w:rsid w:val="006E600C"/>
    <w:rsid w:val="00785C4E"/>
    <w:rsid w:val="007A6644"/>
    <w:rsid w:val="0082159D"/>
    <w:rsid w:val="00834B22"/>
    <w:rsid w:val="008351B6"/>
    <w:rsid w:val="0084380F"/>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34FF"/>
    <w:rsid w:val="00F97604"/>
    <w:rsid w:val="00FA7EE2"/>
    <w:rsid w:val="00FD0030"/>
    <w:rsid w:val="071C62BE"/>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9FEC9"/>
  <w15:docId w15:val="{085E5718-B87A-424A-A2DD-DC7BACC6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styleId="a7">
    <w:name w:val="FollowedHyperlink"/>
    <w:uiPriority w:val="99"/>
    <w:semiHidden/>
    <w:unhideWhenUsed/>
    <w:qFormat/>
    <w:rPr>
      <w:color w:val="954F72"/>
      <w:u w:val="single"/>
    </w:rPr>
  </w:style>
  <w:style w:type="character" w:styleId="a8">
    <w:name w:val="Hyperlink"/>
    <w:uiPriority w:val="99"/>
    <w:rPr>
      <w:rFonts w:ascii="ˎ̥" w:hAnsi="ˎ̥" w:hint="default"/>
      <w:color w:val="0404B3"/>
      <w:sz w:val="18"/>
      <w:szCs w:val="18"/>
      <w:u w:val="none"/>
    </w:rPr>
  </w:style>
  <w:style w:type="character" w:customStyle="1" w:styleId="a6">
    <w:name w:val="页眉 字符"/>
    <w:link w:val="a5"/>
    <w:uiPriority w:val="99"/>
    <w:rPr>
      <w:sz w:val="18"/>
      <w:szCs w:val="18"/>
    </w:rPr>
  </w:style>
  <w:style w:type="character" w:customStyle="1" w:styleId="a4">
    <w:name w:val="页脚 字符"/>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828CE7-FE94-430A-934F-6F7360C8D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13</cp:revision>
  <dcterms:created xsi:type="dcterms:W3CDTF">2017-11-15T02:33:00Z</dcterms:created>
  <dcterms:modified xsi:type="dcterms:W3CDTF">2025-12-17T04:45:00Z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